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3E3FA5">
      <w:pPr>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 xml:space="preserve">Public Utility Commission of </w:t>
      </w:r>
      <w:smartTag w:uri="urn:schemas-microsoft-com:office:smarttags" w:element="place">
        <w:smartTag w:uri="urn:schemas-microsoft-com:office:smarttags" w:element="State">
          <w:r w:rsidRPr="003E3FA5">
            <w:rPr>
              <w:rFonts w:ascii="Times New Roman" w:eastAsia="Times New Roman" w:hAnsi="Times New Roman" w:cs="Times New Roman"/>
              <w:b/>
              <w:i/>
              <w:sz w:val="38"/>
              <w:szCs w:val="20"/>
            </w:rPr>
            <w:t>Texas</w:t>
          </w:r>
        </w:smartTag>
      </w:smartTag>
    </w:p>
    <w:p w14:paraId="7473F9F8" w14:textId="77777777" w:rsidR="003E3FA5" w:rsidRPr="003E3FA5" w:rsidRDefault="003E3FA5" w:rsidP="003E3FA5">
      <w:pPr>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3E3FA5">
      <w:pPr>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77777777" w:rsidR="003E3FA5" w:rsidRPr="003E3FA5" w:rsidRDefault="003E3FA5" w:rsidP="003E3FA5">
      <w:pPr>
        <w:spacing w:after="0" w:line="240" w:lineRule="auto"/>
        <w:rPr>
          <w:rFonts w:ascii="Times New Roman" w:eastAsia="Times New Roman" w:hAnsi="Times New Roman" w:cs="Times New Roman"/>
          <w:sz w:val="24"/>
          <w:szCs w:val="20"/>
        </w:rPr>
      </w:pPr>
    </w:p>
    <w:p w14:paraId="11084088" w14:textId="77777777" w:rsidR="003E3FA5" w:rsidRPr="003E3FA5" w:rsidRDefault="003E3FA5" w:rsidP="003E3FA5">
      <w:pPr>
        <w:spacing w:after="0" w:line="240" w:lineRule="auto"/>
        <w:jc w:val="both"/>
        <w:rPr>
          <w:rFonts w:ascii="Times New Roman" w:eastAsia="Times New Roman" w:hAnsi="Times New Roman" w:cs="Times New Roman"/>
          <w:szCs w:val="20"/>
        </w:rPr>
      </w:pPr>
    </w:p>
    <w:p w14:paraId="04A06BD0" w14:textId="7DA58C7E" w:rsidR="003E3FA5" w:rsidRPr="003E3FA5" w:rsidRDefault="003E3FA5" w:rsidP="003E3FA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bookmarkStart w:id="0" w:name="_Hlk105496182"/>
      <w:r w:rsidR="00126E4C">
        <w:rPr>
          <w:rFonts w:ascii="Times New Roman" w:eastAsia="Times New Roman" w:hAnsi="Times New Roman" w:cs="Times New Roman"/>
          <w:sz w:val="24"/>
          <w:szCs w:val="24"/>
        </w:rPr>
        <w:t>Forrest Smith</w:t>
      </w:r>
      <w:r w:rsidR="005B736D">
        <w:rPr>
          <w:rFonts w:ascii="Times New Roman" w:eastAsia="Times New Roman" w:hAnsi="Times New Roman" w:cs="Times New Roman"/>
          <w:sz w:val="24"/>
          <w:szCs w:val="24"/>
        </w:rPr>
        <w:t xml:space="preserve"> </w:t>
      </w:r>
      <w:bookmarkEnd w:id="0"/>
    </w:p>
    <w:p w14:paraId="1954CC34" w14:textId="77777777" w:rsidR="003E3FA5" w:rsidRPr="003E3FA5" w:rsidRDefault="003E3FA5" w:rsidP="003E3FA5">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r w:rsidRPr="003E3FA5">
        <w:rPr>
          <w:rFonts w:ascii="Times New Roman" w:eastAsia="Times New Roman" w:hAnsi="Times New Roman" w:cs="Times New Roman"/>
          <w:sz w:val="24"/>
          <w:szCs w:val="24"/>
        </w:rPr>
        <w:tab/>
      </w:r>
    </w:p>
    <w:p w14:paraId="652A9EDC"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2C95D37C" w14:textId="58300336" w:rsidR="00B52332" w:rsidRDefault="003E3FA5" w:rsidP="00A74B99">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00126E4C">
        <w:rPr>
          <w:rFonts w:ascii="Times New Roman" w:eastAsia="Times New Roman" w:hAnsi="Times New Roman" w:cs="Times New Roman"/>
          <w:sz w:val="24"/>
          <w:szCs w:val="24"/>
        </w:rPr>
        <w:t>Fred</w:t>
      </w:r>
      <w:r w:rsidR="00ED2896" w:rsidRPr="00ED2896">
        <w:rPr>
          <w:rFonts w:ascii="Times New Roman" w:eastAsia="Times New Roman" w:hAnsi="Times New Roman" w:cs="Times New Roman"/>
          <w:sz w:val="24"/>
          <w:szCs w:val="24"/>
        </w:rPr>
        <w:t xml:space="preserve"> B</w:t>
      </w:r>
      <w:r w:rsidR="00126E4C">
        <w:rPr>
          <w:rFonts w:ascii="Times New Roman" w:eastAsia="Times New Roman" w:hAnsi="Times New Roman" w:cs="Times New Roman"/>
          <w:sz w:val="24"/>
          <w:szCs w:val="24"/>
        </w:rPr>
        <w:t>ednarski III</w:t>
      </w:r>
    </w:p>
    <w:p w14:paraId="12E1F81F" w14:textId="334D9689" w:rsidR="003E3FA5" w:rsidRPr="003E3FA5" w:rsidRDefault="005B736D" w:rsidP="00F555F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3E3FA5" w:rsidRPr="003E3FA5">
        <w:rPr>
          <w:rFonts w:ascii="Times New Roman" w:eastAsia="Times New Roman" w:hAnsi="Times New Roman" w:cs="Times New Roman"/>
          <w:sz w:val="24"/>
          <w:szCs w:val="24"/>
        </w:rPr>
        <w:t>Rate Regulation Division</w:t>
      </w:r>
    </w:p>
    <w:p w14:paraId="01F87B9B"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p>
    <w:p w14:paraId="34AAA195" w14:textId="345AD61C" w:rsidR="003E3FA5" w:rsidRPr="003E3FA5" w:rsidRDefault="003E3FA5" w:rsidP="003E3FA5">
      <w:pPr>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B52D56">
        <w:rPr>
          <w:rFonts w:ascii="Times New Roman" w:eastAsia="Times New Roman" w:hAnsi="Times New Roman" w:cs="Times New Roman"/>
          <w:sz w:val="24"/>
          <w:szCs w:val="24"/>
        </w:rPr>
        <w:t>March</w:t>
      </w:r>
      <w:r w:rsidR="008C57AB">
        <w:rPr>
          <w:rFonts w:ascii="Times New Roman" w:eastAsia="Times New Roman" w:hAnsi="Times New Roman" w:cs="Times New Roman"/>
          <w:sz w:val="24"/>
          <w:szCs w:val="24"/>
        </w:rPr>
        <w:t xml:space="preserve"> </w:t>
      </w:r>
      <w:r w:rsidR="00B52D56">
        <w:rPr>
          <w:rFonts w:ascii="Times New Roman" w:eastAsia="Times New Roman" w:hAnsi="Times New Roman" w:cs="Times New Roman"/>
          <w:sz w:val="24"/>
          <w:szCs w:val="24"/>
        </w:rPr>
        <w:t>8</w:t>
      </w:r>
      <w:r w:rsidRPr="003E3FA5">
        <w:rPr>
          <w:rFonts w:ascii="Times New Roman" w:eastAsia="Times New Roman" w:hAnsi="Times New Roman" w:cs="Times New Roman"/>
          <w:sz w:val="24"/>
          <w:szCs w:val="24"/>
        </w:rPr>
        <w:t>, 202</w:t>
      </w:r>
      <w:r w:rsidR="003A73A6">
        <w:rPr>
          <w:rFonts w:ascii="Times New Roman" w:eastAsia="Times New Roman" w:hAnsi="Times New Roman" w:cs="Times New Roman"/>
          <w:sz w:val="24"/>
          <w:szCs w:val="24"/>
        </w:rPr>
        <w:t>3</w:t>
      </w:r>
    </w:p>
    <w:p w14:paraId="1105946C" w14:textId="77777777" w:rsidR="003E3FA5" w:rsidRPr="003E3FA5" w:rsidRDefault="003E3FA5" w:rsidP="003E3FA5">
      <w:pPr>
        <w:spacing w:after="0" w:line="240" w:lineRule="auto"/>
        <w:ind w:left="1440" w:hanging="1440"/>
        <w:jc w:val="both"/>
        <w:rPr>
          <w:rFonts w:ascii="Times New Roman" w:eastAsia="Times New Roman" w:hAnsi="Times New Roman" w:cs="Times New Roman"/>
          <w:sz w:val="24"/>
          <w:szCs w:val="24"/>
        </w:rPr>
      </w:pPr>
    </w:p>
    <w:p w14:paraId="1E1B9BB3" w14:textId="70053511" w:rsidR="003E3FA5" w:rsidRPr="003E3FA5" w:rsidRDefault="003E3FA5" w:rsidP="003E3FA5">
      <w:pPr>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b/>
          <w:bCs/>
          <w:i/>
          <w:iCs/>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1" w:name="_Hlk78868904"/>
      <w:bookmarkStart w:id="2" w:name="_Hlk105496219"/>
      <w:r w:rsidRPr="00147CE5">
        <w:rPr>
          <w:rFonts w:ascii="Times New Roman" w:eastAsia="Times New Roman" w:hAnsi="Times New Roman" w:cs="Times New Roman"/>
          <w:bCs/>
          <w:sz w:val="24"/>
          <w:szCs w:val="24"/>
        </w:rPr>
        <w:t>Docket No.</w:t>
      </w:r>
      <w:r w:rsidR="005B736D">
        <w:rPr>
          <w:rFonts w:ascii="Times New Roman" w:eastAsia="Times New Roman" w:hAnsi="Times New Roman" w:cs="Times New Roman"/>
          <w:bCs/>
          <w:sz w:val="24"/>
          <w:szCs w:val="24"/>
        </w:rPr>
        <w:t xml:space="preserve"> </w:t>
      </w:r>
      <w:r w:rsidR="00F555F9">
        <w:rPr>
          <w:rFonts w:ascii="Times New Roman" w:eastAsia="Times New Roman" w:hAnsi="Times New Roman" w:cs="Times New Roman"/>
          <w:bCs/>
          <w:sz w:val="24"/>
          <w:szCs w:val="24"/>
        </w:rPr>
        <w:t>5</w:t>
      </w:r>
      <w:r w:rsidR="003A73A6">
        <w:rPr>
          <w:rFonts w:ascii="Times New Roman" w:eastAsia="Times New Roman" w:hAnsi="Times New Roman" w:cs="Times New Roman"/>
          <w:bCs/>
          <w:sz w:val="24"/>
          <w:szCs w:val="24"/>
        </w:rPr>
        <w:t>1646</w:t>
      </w:r>
      <w:r w:rsidR="005B736D">
        <w:rPr>
          <w:rFonts w:ascii="Times New Roman" w:eastAsia="Times New Roman" w:hAnsi="Times New Roman" w:cs="Times New Roman"/>
          <w:bCs/>
          <w:sz w:val="24"/>
          <w:szCs w:val="24"/>
        </w:rPr>
        <w:t xml:space="preserve"> </w:t>
      </w:r>
      <w:r w:rsidRPr="00147CE5">
        <w:rPr>
          <w:rFonts w:ascii="Times New Roman" w:eastAsia="Times New Roman" w:hAnsi="Times New Roman" w:cs="Times New Roman"/>
          <w:bCs/>
          <w:i/>
          <w:iCs/>
          <w:sz w:val="24"/>
          <w:szCs w:val="24"/>
        </w:rPr>
        <w:t xml:space="preserve">– </w:t>
      </w:r>
      <w:bookmarkEnd w:id="1"/>
      <w:r w:rsidRPr="00147CE5">
        <w:rPr>
          <w:rFonts w:ascii="Times New Roman" w:eastAsia="Times New Roman" w:hAnsi="Times New Roman" w:cs="Times New Roman"/>
          <w:bCs/>
          <w:i/>
          <w:iCs/>
          <w:sz w:val="24"/>
          <w:szCs w:val="24"/>
        </w:rPr>
        <w:t>Application of</w:t>
      </w:r>
      <w:r w:rsidR="0060231B">
        <w:rPr>
          <w:rFonts w:ascii="Times New Roman" w:eastAsia="Times New Roman" w:hAnsi="Times New Roman" w:cs="Times New Roman"/>
          <w:bCs/>
          <w:i/>
          <w:iCs/>
          <w:sz w:val="24"/>
          <w:szCs w:val="24"/>
        </w:rPr>
        <w:t xml:space="preserve"> Waters of Vista Ranch Water Supply Corporation and Aqua Water Supply Corporation for Sale, Transfer, or Merger of Facilities and Certificate Rights in Fayette</w:t>
      </w:r>
      <w:r w:rsidR="00F555F9">
        <w:rPr>
          <w:rFonts w:ascii="Times New Roman" w:eastAsia="Times New Roman" w:hAnsi="Times New Roman" w:cs="Times New Roman"/>
          <w:bCs/>
          <w:i/>
          <w:iCs/>
          <w:sz w:val="24"/>
          <w:szCs w:val="24"/>
        </w:rPr>
        <w:t xml:space="preserve"> County</w:t>
      </w:r>
      <w:bookmarkEnd w:id="2"/>
    </w:p>
    <w:p w14:paraId="69DB8C2F" w14:textId="77777777" w:rsidR="005B736D" w:rsidRDefault="005B736D" w:rsidP="005B736D">
      <w:pPr>
        <w:spacing w:after="0" w:line="240" w:lineRule="auto"/>
        <w:ind w:firstLine="720"/>
        <w:jc w:val="both"/>
        <w:rPr>
          <w:rFonts w:ascii="Times New Roman" w:eastAsia="Times New Roman" w:hAnsi="Times New Roman" w:cs="Times New Roman"/>
          <w:sz w:val="24"/>
          <w:szCs w:val="24"/>
        </w:rPr>
      </w:pPr>
    </w:p>
    <w:p w14:paraId="1AFD9954" w14:textId="690726F3" w:rsidR="005B736D" w:rsidRDefault="0060231B" w:rsidP="004C038F">
      <w:pPr>
        <w:spacing w:after="120" w:line="360" w:lineRule="auto"/>
        <w:ind w:firstLine="720"/>
        <w:jc w:val="both"/>
        <w:rPr>
          <w:rFonts w:ascii="Times New Roman" w:eastAsia="Times New Roman" w:hAnsi="Times New Roman" w:cs="Times New Roman"/>
          <w:sz w:val="24"/>
          <w:szCs w:val="24"/>
        </w:rPr>
      </w:pPr>
      <w:r w:rsidRPr="0060231B">
        <w:rPr>
          <w:rFonts w:ascii="Times New Roman" w:eastAsia="Times New Roman" w:hAnsi="Times New Roman" w:cs="Times New Roman"/>
          <w:sz w:val="24"/>
          <w:szCs w:val="24"/>
        </w:rPr>
        <w:t>On December 21, 2020, Aqua Water Supply Corporation (Aqua WSC) and Waters of Vista Ranch Water Supply Corporation (Vista Ranch WSC) filed an application for the sale, transfer, or merger of facilities and certificate rights</w:t>
      </w:r>
      <w:r>
        <w:rPr>
          <w:rFonts w:ascii="Times New Roman" w:eastAsia="Times New Roman" w:hAnsi="Times New Roman" w:cs="Times New Roman"/>
          <w:sz w:val="24"/>
          <w:szCs w:val="24"/>
        </w:rPr>
        <w:t xml:space="preserve"> </w:t>
      </w:r>
      <w:r w:rsidR="005D4812" w:rsidRPr="005D4812">
        <w:rPr>
          <w:rFonts w:ascii="Times New Roman" w:eastAsia="Times New Roman" w:hAnsi="Times New Roman" w:cs="Times New Roman"/>
          <w:sz w:val="24"/>
          <w:szCs w:val="24"/>
        </w:rPr>
        <w:t xml:space="preserve">under the provisions of Texas Water Code </w:t>
      </w:r>
      <w:r w:rsidR="004753F5">
        <w:rPr>
          <w:rFonts w:ascii="Times New Roman" w:eastAsia="Times New Roman" w:hAnsi="Times New Roman" w:cs="Times New Roman"/>
          <w:sz w:val="24"/>
          <w:szCs w:val="24"/>
        </w:rPr>
        <w:t xml:space="preserve">(TWC) </w:t>
      </w:r>
      <w:r w:rsidR="005D4812" w:rsidRPr="005D4812">
        <w:rPr>
          <w:rFonts w:ascii="Times New Roman" w:eastAsia="Times New Roman" w:hAnsi="Times New Roman" w:cs="Times New Roman"/>
          <w:sz w:val="24"/>
          <w:szCs w:val="24"/>
        </w:rPr>
        <w:t xml:space="preserve">§ 13.301 and 16 Texas Administrative Code </w:t>
      </w:r>
      <w:r w:rsidR="004753F5">
        <w:rPr>
          <w:rFonts w:ascii="Times New Roman" w:eastAsia="Times New Roman" w:hAnsi="Times New Roman" w:cs="Times New Roman"/>
          <w:sz w:val="24"/>
          <w:szCs w:val="24"/>
        </w:rPr>
        <w:t xml:space="preserve">(TAC) </w:t>
      </w:r>
      <w:r w:rsidR="005D4812" w:rsidRPr="005D4812">
        <w:rPr>
          <w:rFonts w:ascii="Times New Roman" w:eastAsia="Times New Roman" w:hAnsi="Times New Roman" w:cs="Times New Roman"/>
          <w:sz w:val="24"/>
          <w:szCs w:val="24"/>
        </w:rPr>
        <w:t>§ 24.239</w:t>
      </w:r>
      <w:r w:rsidR="005D481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Fayette</w:t>
      </w:r>
      <w:r w:rsidR="005B736D" w:rsidRPr="00482E56">
        <w:rPr>
          <w:rFonts w:ascii="Times New Roman" w:eastAsia="Times New Roman" w:hAnsi="Times New Roman" w:cs="Times New Roman"/>
          <w:sz w:val="24"/>
          <w:szCs w:val="24"/>
        </w:rPr>
        <w:t xml:space="preserve"> County under Subchapter G of Texas Water Code Chapter 13</w:t>
      </w:r>
      <w:r w:rsidR="00B2321E">
        <w:rPr>
          <w:rFonts w:ascii="Times New Roman" w:eastAsia="Times New Roman" w:hAnsi="Times New Roman" w:cs="Times New Roman"/>
          <w:sz w:val="24"/>
          <w:szCs w:val="24"/>
        </w:rPr>
        <w:t>, and for</w:t>
      </w:r>
      <w:r w:rsidR="005D4812">
        <w:rPr>
          <w:rFonts w:ascii="Times New Roman" w:eastAsia="Times New Roman" w:hAnsi="Times New Roman" w:cs="Times New Roman"/>
          <w:sz w:val="24"/>
          <w:szCs w:val="24"/>
        </w:rPr>
        <w:t xml:space="preserve"> Aqua WSC to amend its water CCN </w:t>
      </w:r>
      <w:r w:rsidR="004753F5">
        <w:rPr>
          <w:rFonts w:ascii="Times New Roman" w:eastAsia="Times New Roman" w:hAnsi="Times New Roman" w:cs="Times New Roman"/>
          <w:sz w:val="24"/>
          <w:szCs w:val="24"/>
        </w:rPr>
        <w:t xml:space="preserve">No. </w:t>
      </w:r>
      <w:r w:rsidR="005D4812">
        <w:rPr>
          <w:rFonts w:ascii="Times New Roman" w:eastAsia="Times New Roman" w:hAnsi="Times New Roman" w:cs="Times New Roman"/>
          <w:sz w:val="24"/>
          <w:szCs w:val="24"/>
        </w:rPr>
        <w:t xml:space="preserve"> 10294 in Fayette County </w:t>
      </w:r>
      <w:r w:rsidR="005D4812" w:rsidRPr="005D4812">
        <w:rPr>
          <w:rFonts w:ascii="Times New Roman" w:eastAsia="Times New Roman" w:hAnsi="Times New Roman" w:cs="Times New Roman"/>
          <w:sz w:val="24"/>
          <w:szCs w:val="24"/>
        </w:rPr>
        <w:t>under Subchapter G of Texas Water Code Chapter 13.</w:t>
      </w:r>
    </w:p>
    <w:p w14:paraId="1BA8FBEA" w14:textId="64D0AE06" w:rsidR="00B2321E" w:rsidRDefault="00B2321E" w:rsidP="004C038F">
      <w:pPr>
        <w:spacing w:after="120" w:line="360" w:lineRule="auto"/>
        <w:ind w:firstLine="720"/>
        <w:jc w:val="both"/>
        <w:rPr>
          <w:rFonts w:ascii="Times New Roman" w:eastAsia="Times New Roman" w:hAnsi="Times New Roman" w:cs="Times New Roman"/>
          <w:sz w:val="24"/>
          <w:szCs w:val="24"/>
        </w:rPr>
      </w:pPr>
      <w:r w:rsidRPr="00376E5F">
        <w:rPr>
          <w:rFonts w:ascii="Times New Roman" w:eastAsia="Times New Roman" w:hAnsi="Times New Roman" w:cs="Times New Roman"/>
          <w:sz w:val="24"/>
          <w:szCs w:val="24"/>
        </w:rPr>
        <w:t>An owner or operator of a retail public utility must have the financial resources to operate and manage the utility and to provide continuous and adequate service to the current and requested utility service areas, as established by 16 T</w:t>
      </w:r>
      <w:r w:rsidR="00894906">
        <w:rPr>
          <w:rFonts w:ascii="Times New Roman" w:eastAsia="Times New Roman" w:hAnsi="Times New Roman" w:cs="Times New Roman"/>
          <w:sz w:val="24"/>
          <w:szCs w:val="24"/>
        </w:rPr>
        <w:t>AC</w:t>
      </w:r>
      <w:r w:rsidRPr="00376E5F">
        <w:rPr>
          <w:rFonts w:ascii="Times New Roman" w:eastAsia="Times New Roman" w:hAnsi="Times New Roman" w:cs="Times New Roman"/>
          <w:sz w:val="24"/>
          <w:szCs w:val="24"/>
        </w:rPr>
        <w:t xml:space="preserve"> § 24.11. </w:t>
      </w:r>
      <w:r w:rsidR="00EB2A1A">
        <w:rPr>
          <w:rFonts w:ascii="Times New Roman" w:eastAsia="Times New Roman" w:hAnsi="Times New Roman" w:cs="Times New Roman"/>
          <w:sz w:val="24"/>
          <w:szCs w:val="24"/>
        </w:rPr>
        <w:t>Aqua WSC</w:t>
      </w:r>
      <w:r>
        <w:rPr>
          <w:rFonts w:ascii="Times New Roman" w:eastAsia="Times New Roman" w:hAnsi="Times New Roman" w:cs="Times New Roman"/>
          <w:sz w:val="24"/>
          <w:szCs w:val="24"/>
        </w:rPr>
        <w:t xml:space="preserve"> </w:t>
      </w:r>
      <w:r w:rsidRPr="00376E5F">
        <w:rPr>
          <w:rFonts w:ascii="Times New Roman" w:eastAsia="Times New Roman" w:hAnsi="Times New Roman" w:cs="Times New Roman"/>
          <w:sz w:val="24"/>
          <w:szCs w:val="24"/>
        </w:rPr>
        <w:t xml:space="preserve">must demonstrate that it meets one of the five leverage tests under 16 TAC § 24.11(e)(2) as well as the operations test under 16 TAC § 24.11(e)(3).  </w:t>
      </w:r>
    </w:p>
    <w:p w14:paraId="3CD50205" w14:textId="77777777" w:rsidR="00B2321E" w:rsidRPr="008B0F6D" w:rsidRDefault="00B2321E" w:rsidP="004C038F">
      <w:pPr>
        <w:spacing w:after="120" w:line="360" w:lineRule="auto"/>
        <w:jc w:val="both"/>
        <w:rPr>
          <w:rFonts w:ascii="Times New Roman" w:eastAsia="Times New Roman" w:hAnsi="Times New Roman" w:cs="Times New Roman"/>
          <w:b/>
          <w:bCs/>
          <w:sz w:val="24"/>
          <w:szCs w:val="24"/>
        </w:rPr>
      </w:pPr>
      <w:r w:rsidRPr="008B0F6D">
        <w:rPr>
          <w:rFonts w:ascii="Times New Roman" w:eastAsia="Times New Roman" w:hAnsi="Times New Roman" w:cs="Times New Roman"/>
          <w:b/>
          <w:bCs/>
          <w:i/>
          <w:iCs/>
          <w:sz w:val="24"/>
          <w:szCs w:val="24"/>
        </w:rPr>
        <w:t>Leverage Test</w:t>
      </w:r>
    </w:p>
    <w:p w14:paraId="52BB54A1" w14:textId="21EB62B7" w:rsidR="00B2321E" w:rsidRPr="00675D86" w:rsidRDefault="00B2321E" w:rsidP="004C038F">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FF28DC">
        <w:rPr>
          <w:rFonts w:ascii="Times New Roman" w:eastAsia="Times New Roman" w:hAnsi="Times New Roman" w:cs="Times New Roman"/>
          <w:sz w:val="24"/>
          <w:szCs w:val="24"/>
        </w:rPr>
        <w:t>My analysis is based on financial statements ending December 31, 202</w:t>
      </w:r>
      <w:r w:rsidR="00EB2A1A">
        <w:rPr>
          <w:rFonts w:ascii="Times New Roman" w:eastAsia="Times New Roman" w:hAnsi="Times New Roman" w:cs="Times New Roman"/>
          <w:sz w:val="24"/>
          <w:szCs w:val="24"/>
        </w:rPr>
        <w:t>1</w:t>
      </w:r>
      <w:r w:rsidRPr="00FF28DC">
        <w:rPr>
          <w:rFonts w:ascii="Times New Roman" w:eastAsia="Times New Roman" w:hAnsi="Times New Roman" w:cs="Times New Roman"/>
          <w:sz w:val="24"/>
          <w:szCs w:val="24"/>
        </w:rPr>
        <w:t xml:space="preserve">. </w:t>
      </w:r>
      <w:r w:rsidR="00EB2A1A">
        <w:rPr>
          <w:rFonts w:ascii="Times New Roman" w:eastAsia="Times New Roman" w:hAnsi="Times New Roman" w:cs="Times New Roman"/>
          <w:sz w:val="24"/>
          <w:szCs w:val="24"/>
        </w:rPr>
        <w:t xml:space="preserve"> </w:t>
      </w:r>
      <w:r w:rsidR="00EB2A1A" w:rsidRPr="00EB2A1A">
        <w:rPr>
          <w:rFonts w:ascii="Times New Roman" w:eastAsia="Times New Roman" w:hAnsi="Times New Roman" w:cs="Times New Roman"/>
          <w:sz w:val="24"/>
          <w:szCs w:val="24"/>
        </w:rPr>
        <w:t xml:space="preserve">These financial statements contain an unqualified auditor’s opinion from </w:t>
      </w:r>
      <w:r w:rsidR="00EB2A1A">
        <w:rPr>
          <w:rFonts w:ascii="Times New Roman" w:eastAsia="Times New Roman" w:hAnsi="Times New Roman" w:cs="Times New Roman"/>
          <w:sz w:val="24"/>
          <w:szCs w:val="24"/>
        </w:rPr>
        <w:t>Montemayor Britton Bender PC</w:t>
      </w:r>
      <w:r w:rsidR="00EB2A1A" w:rsidRPr="00EB2A1A">
        <w:rPr>
          <w:rFonts w:ascii="Times New Roman" w:eastAsia="Times New Roman" w:hAnsi="Times New Roman" w:cs="Times New Roman"/>
          <w:sz w:val="24"/>
          <w:szCs w:val="24"/>
        </w:rPr>
        <w:t xml:space="preserve"> stating that the financial statements present fairly, in all material respects, the financial position of </w:t>
      </w:r>
      <w:r w:rsidR="00EB2A1A">
        <w:rPr>
          <w:rFonts w:ascii="Times New Roman" w:eastAsia="Times New Roman" w:hAnsi="Times New Roman" w:cs="Times New Roman"/>
          <w:sz w:val="24"/>
          <w:szCs w:val="24"/>
        </w:rPr>
        <w:t>Aqua WSC</w:t>
      </w:r>
      <w:r w:rsidR="00EB2A1A" w:rsidRPr="00EB2A1A">
        <w:rPr>
          <w:rFonts w:ascii="Times New Roman" w:eastAsia="Times New Roman" w:hAnsi="Times New Roman" w:cs="Times New Roman"/>
          <w:sz w:val="24"/>
          <w:szCs w:val="24"/>
        </w:rPr>
        <w:t xml:space="preserve"> as of December 31, 2021</w:t>
      </w:r>
      <w:r w:rsidRPr="00675D86">
        <w:rPr>
          <w:rFonts w:ascii="Times New Roman" w:eastAsia="Times New Roman" w:hAnsi="Times New Roman" w:cs="Times New Roman"/>
          <w:sz w:val="24"/>
          <w:szCs w:val="24"/>
        </w:rPr>
        <w:t>, as required by 16 TAC § 24.11(e)(4)(B)(</w:t>
      </w:r>
      <w:proofErr w:type="spellStart"/>
      <w:r w:rsidRPr="00675D86">
        <w:rPr>
          <w:rFonts w:ascii="Times New Roman" w:eastAsia="Times New Roman" w:hAnsi="Times New Roman" w:cs="Times New Roman"/>
          <w:sz w:val="24"/>
          <w:szCs w:val="24"/>
        </w:rPr>
        <w:t>i</w:t>
      </w:r>
      <w:proofErr w:type="spellEnd"/>
      <w:r w:rsidRPr="00675D86">
        <w:rPr>
          <w:rFonts w:ascii="Times New Roman" w:eastAsia="Times New Roman" w:hAnsi="Times New Roman" w:cs="Times New Roman"/>
          <w:sz w:val="24"/>
          <w:szCs w:val="24"/>
        </w:rPr>
        <w:t>).</w:t>
      </w:r>
      <w:r w:rsidRPr="00675D86">
        <w:rPr>
          <w:rStyle w:val="FootnoteReference"/>
          <w:rFonts w:ascii="Times New Roman" w:eastAsia="Times New Roman" w:hAnsi="Times New Roman" w:cs="Times New Roman"/>
          <w:sz w:val="24"/>
          <w:szCs w:val="24"/>
        </w:rPr>
        <w:footnoteReference w:id="1"/>
      </w:r>
    </w:p>
    <w:p w14:paraId="77AA8405" w14:textId="768E4AB4" w:rsidR="00B2321E" w:rsidRPr="00675D86" w:rsidRDefault="00B2321E" w:rsidP="004C038F">
      <w:pPr>
        <w:spacing w:after="120" w:line="360" w:lineRule="auto"/>
        <w:jc w:val="both"/>
        <w:rPr>
          <w:rFonts w:ascii="Times New Roman" w:eastAsia="Times New Roman" w:hAnsi="Times New Roman" w:cs="Times New Roman"/>
          <w:sz w:val="24"/>
          <w:szCs w:val="24"/>
        </w:rPr>
      </w:pPr>
      <w:r w:rsidRPr="00675D86">
        <w:rPr>
          <w:rFonts w:ascii="Times New Roman" w:eastAsia="Times New Roman" w:hAnsi="Times New Roman" w:cs="Times New Roman"/>
          <w:sz w:val="24"/>
          <w:szCs w:val="24"/>
        </w:rPr>
        <w:tab/>
        <w:t xml:space="preserve">Based upon my review of </w:t>
      </w:r>
      <w:r w:rsidR="006722FF">
        <w:rPr>
          <w:rFonts w:ascii="Times New Roman" w:eastAsia="Times New Roman" w:hAnsi="Times New Roman" w:cs="Times New Roman"/>
          <w:sz w:val="24"/>
          <w:szCs w:val="24"/>
        </w:rPr>
        <w:t xml:space="preserve">Aqua </w:t>
      </w:r>
      <w:r>
        <w:rPr>
          <w:rFonts w:ascii="Times New Roman" w:eastAsia="Times New Roman" w:hAnsi="Times New Roman" w:cs="Times New Roman"/>
          <w:sz w:val="24"/>
          <w:szCs w:val="24"/>
        </w:rPr>
        <w:t>W</w:t>
      </w:r>
      <w:r w:rsidR="006722FF">
        <w:rPr>
          <w:rFonts w:ascii="Times New Roman" w:eastAsia="Times New Roman" w:hAnsi="Times New Roman" w:cs="Times New Roman"/>
          <w:sz w:val="24"/>
          <w:szCs w:val="24"/>
        </w:rPr>
        <w:t>S</w:t>
      </w:r>
      <w:r>
        <w:rPr>
          <w:rFonts w:ascii="Times New Roman" w:eastAsia="Times New Roman" w:hAnsi="Times New Roman" w:cs="Times New Roman"/>
          <w:sz w:val="24"/>
          <w:szCs w:val="24"/>
        </w:rPr>
        <w:t>C</w:t>
      </w:r>
      <w:r w:rsidRPr="00675D86">
        <w:rPr>
          <w:rFonts w:ascii="Times New Roman" w:eastAsia="Times New Roman" w:hAnsi="Times New Roman" w:cs="Times New Roman"/>
          <w:sz w:val="24"/>
          <w:szCs w:val="24"/>
        </w:rPr>
        <w:t>’s financial statements, I calculate debt-to-equity ratio to be 0.</w:t>
      </w:r>
      <w:r w:rsidR="00654DE4">
        <w:rPr>
          <w:rFonts w:ascii="Times New Roman" w:eastAsia="Times New Roman" w:hAnsi="Times New Roman" w:cs="Times New Roman"/>
          <w:sz w:val="24"/>
          <w:szCs w:val="24"/>
        </w:rPr>
        <w:t>09</w:t>
      </w:r>
      <w:r w:rsidRPr="00675D86">
        <w:rPr>
          <w:rFonts w:ascii="Times New Roman" w:eastAsia="Times New Roman" w:hAnsi="Times New Roman" w:cs="Times New Roman"/>
          <w:sz w:val="24"/>
          <w:szCs w:val="24"/>
        </w:rPr>
        <w:t xml:space="preserve">. The debt-to-equity ratio is </w:t>
      </w:r>
      <w:r w:rsidR="004C038F">
        <w:rPr>
          <w:rFonts w:ascii="Times New Roman" w:eastAsia="Times New Roman" w:hAnsi="Times New Roman" w:cs="Times New Roman"/>
          <w:sz w:val="24"/>
          <w:szCs w:val="24"/>
        </w:rPr>
        <w:t xml:space="preserve">based on </w:t>
      </w:r>
      <w:r w:rsidRPr="00675D86">
        <w:rPr>
          <w:rFonts w:ascii="Times New Roman" w:eastAsia="Times New Roman" w:hAnsi="Times New Roman" w:cs="Times New Roman"/>
          <w:sz w:val="24"/>
          <w:szCs w:val="24"/>
        </w:rPr>
        <w:t>long-term debt of $</w:t>
      </w:r>
      <w:r w:rsidR="006722FF">
        <w:rPr>
          <w:rFonts w:ascii="Times New Roman" w:eastAsia="Times New Roman" w:hAnsi="Times New Roman" w:cs="Times New Roman"/>
          <w:sz w:val="24"/>
          <w:szCs w:val="24"/>
        </w:rPr>
        <w:t>11</w:t>
      </w:r>
      <w:r w:rsidRPr="00675D86">
        <w:rPr>
          <w:rFonts w:ascii="Times New Roman" w:eastAsia="Times New Roman" w:hAnsi="Times New Roman" w:cs="Times New Roman"/>
          <w:sz w:val="24"/>
          <w:szCs w:val="24"/>
        </w:rPr>
        <w:t>,</w:t>
      </w:r>
      <w:r w:rsidR="006722FF">
        <w:rPr>
          <w:rFonts w:ascii="Times New Roman" w:eastAsia="Times New Roman" w:hAnsi="Times New Roman" w:cs="Times New Roman"/>
          <w:sz w:val="24"/>
          <w:szCs w:val="24"/>
        </w:rPr>
        <w:t>120,730</w:t>
      </w:r>
      <w:r w:rsidRPr="00675D86">
        <w:rPr>
          <w:rFonts w:ascii="Times New Roman" w:eastAsia="Times New Roman" w:hAnsi="Times New Roman" w:cs="Times New Roman"/>
          <w:sz w:val="24"/>
          <w:szCs w:val="24"/>
        </w:rPr>
        <w:t xml:space="preserve"> divided by equity of $</w:t>
      </w:r>
      <w:r w:rsidR="006722FF">
        <w:rPr>
          <w:rFonts w:ascii="Times New Roman" w:eastAsia="Times New Roman" w:hAnsi="Times New Roman" w:cs="Times New Roman"/>
          <w:sz w:val="24"/>
          <w:szCs w:val="24"/>
        </w:rPr>
        <w:t>118,711,578</w:t>
      </w:r>
      <w:r w:rsidRPr="00675D86">
        <w:rPr>
          <w:rFonts w:ascii="Times New Roman" w:eastAsia="Times New Roman" w:hAnsi="Times New Roman" w:cs="Times New Roman"/>
          <w:sz w:val="24"/>
          <w:szCs w:val="24"/>
        </w:rPr>
        <w:t>.</w:t>
      </w:r>
      <w:r w:rsidRPr="00675D86">
        <w:rPr>
          <w:rStyle w:val="FootnoteReference"/>
          <w:rFonts w:ascii="Times New Roman" w:eastAsia="Times New Roman" w:hAnsi="Times New Roman" w:cs="Times New Roman"/>
          <w:sz w:val="24"/>
          <w:szCs w:val="24"/>
        </w:rPr>
        <w:footnoteReference w:id="2"/>
      </w:r>
      <w:r w:rsidRPr="00675D86">
        <w:rPr>
          <w:rFonts w:ascii="Times New Roman" w:eastAsia="Times New Roman" w:hAnsi="Times New Roman" w:cs="Times New Roman"/>
          <w:b/>
          <w:bCs/>
          <w:sz w:val="24"/>
          <w:szCs w:val="24"/>
        </w:rPr>
        <w:t xml:space="preserve"> </w:t>
      </w:r>
      <w:r w:rsidRPr="00675D86">
        <w:rPr>
          <w:rFonts w:ascii="Times New Roman" w:eastAsia="Times New Roman" w:hAnsi="Times New Roman" w:cs="Times New Roman"/>
          <w:sz w:val="24"/>
          <w:szCs w:val="24"/>
        </w:rPr>
        <w:t xml:space="preserve">Because the ratio is less than </w:t>
      </w:r>
      <w:r>
        <w:rPr>
          <w:rFonts w:ascii="Times New Roman" w:eastAsia="Times New Roman" w:hAnsi="Times New Roman" w:cs="Times New Roman"/>
          <w:sz w:val="24"/>
          <w:szCs w:val="24"/>
        </w:rPr>
        <w:t>one</w:t>
      </w:r>
      <w:r w:rsidRPr="00675D86">
        <w:rPr>
          <w:rFonts w:ascii="Times New Roman" w:eastAsia="Times New Roman" w:hAnsi="Times New Roman" w:cs="Times New Roman"/>
          <w:sz w:val="24"/>
          <w:szCs w:val="24"/>
        </w:rPr>
        <w:t xml:space="preserve">, I recommend a finding that </w:t>
      </w:r>
      <w:r w:rsidR="002E2F94">
        <w:rPr>
          <w:rFonts w:ascii="Times New Roman" w:eastAsia="Times New Roman" w:hAnsi="Times New Roman" w:cs="Times New Roman"/>
          <w:sz w:val="24"/>
          <w:szCs w:val="24"/>
        </w:rPr>
        <w:t>Aqua WSC</w:t>
      </w:r>
      <w:r w:rsidRPr="00675D86">
        <w:rPr>
          <w:rFonts w:ascii="Times New Roman" w:eastAsia="Times New Roman" w:hAnsi="Times New Roman" w:cs="Times New Roman"/>
          <w:sz w:val="24"/>
          <w:szCs w:val="24"/>
        </w:rPr>
        <w:t xml:space="preserve"> meets the leverage test specified in 16 TAC </w:t>
      </w:r>
      <w:bookmarkStart w:id="4" w:name="_Hlk59192949"/>
      <w:r w:rsidRPr="00675D86">
        <w:rPr>
          <w:rFonts w:ascii="Times New Roman" w:eastAsia="Times New Roman" w:hAnsi="Times New Roman" w:cs="Times New Roman"/>
          <w:sz w:val="24"/>
          <w:szCs w:val="24"/>
        </w:rPr>
        <w:t>§ 24.11(e)(2)(A).</w:t>
      </w:r>
      <w:bookmarkEnd w:id="4"/>
    </w:p>
    <w:p w14:paraId="6397A45B" w14:textId="77777777" w:rsidR="00B2321E" w:rsidRPr="008B0F6D" w:rsidRDefault="00B2321E" w:rsidP="004C038F">
      <w:pPr>
        <w:spacing w:after="120" w:line="360" w:lineRule="auto"/>
        <w:jc w:val="both"/>
        <w:rPr>
          <w:rFonts w:ascii="Times New Roman" w:eastAsia="Times New Roman" w:hAnsi="Times New Roman" w:cs="Times New Roman"/>
          <w:b/>
          <w:bCs/>
          <w:sz w:val="24"/>
          <w:szCs w:val="24"/>
        </w:rPr>
      </w:pPr>
      <w:r w:rsidRPr="008B0F6D">
        <w:rPr>
          <w:rFonts w:ascii="Times New Roman" w:eastAsia="Times New Roman" w:hAnsi="Times New Roman" w:cs="Times New Roman"/>
          <w:b/>
          <w:bCs/>
          <w:i/>
          <w:iCs/>
          <w:sz w:val="24"/>
          <w:szCs w:val="24"/>
        </w:rPr>
        <w:t>Operations Test</w:t>
      </w:r>
    </w:p>
    <w:p w14:paraId="4B8930AB" w14:textId="77777777" w:rsidR="00B2321E" w:rsidRPr="00861234" w:rsidRDefault="00B2321E" w:rsidP="004C038F">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133D92">
        <w:rPr>
          <w:rFonts w:ascii="Times New Roman" w:eastAsia="Times New Roman" w:hAnsi="Times New Roman" w:cs="Times New Roman"/>
          <w:sz w:val="24"/>
          <w:szCs w:val="24"/>
        </w:rPr>
        <w:t xml:space="preserve">An owner or operator must demonstrate sufficient available cash to cover projected cash shortages for operations and maintenance expense during the first five years of operations, as </w:t>
      </w:r>
      <w:r w:rsidRPr="00861234">
        <w:rPr>
          <w:rFonts w:ascii="Times New Roman" w:eastAsia="Times New Roman" w:hAnsi="Times New Roman" w:cs="Times New Roman"/>
          <w:sz w:val="24"/>
          <w:szCs w:val="24"/>
        </w:rPr>
        <w:t xml:space="preserve">required by 16 TAC § 24.11(e)(3). </w:t>
      </w:r>
    </w:p>
    <w:p w14:paraId="691CE264" w14:textId="5FA14AB7" w:rsidR="00B2321E" w:rsidRPr="004C038F" w:rsidRDefault="00B2321E" w:rsidP="004C038F">
      <w:pPr>
        <w:spacing w:after="120" w:line="360" w:lineRule="auto"/>
        <w:jc w:val="both"/>
        <w:rPr>
          <w:rFonts w:ascii="Times New Roman" w:eastAsia="Times New Roman" w:hAnsi="Times New Roman" w:cs="Times New Roman"/>
          <w:sz w:val="24"/>
          <w:szCs w:val="24"/>
        </w:rPr>
      </w:pPr>
      <w:r w:rsidRPr="00861234">
        <w:rPr>
          <w:rFonts w:ascii="Times New Roman" w:eastAsia="Times New Roman" w:hAnsi="Times New Roman" w:cs="Times New Roman"/>
          <w:sz w:val="24"/>
          <w:szCs w:val="24"/>
        </w:rPr>
        <w:tab/>
      </w:r>
      <w:r w:rsidR="00860784" w:rsidRPr="00860784">
        <w:rPr>
          <w:rFonts w:ascii="Times New Roman" w:eastAsia="Times New Roman" w:hAnsi="Times New Roman" w:cs="Times New Roman"/>
          <w:sz w:val="24"/>
          <w:szCs w:val="24"/>
        </w:rPr>
        <w:t>Aqua WSC’s financial statements include $1</w:t>
      </w:r>
      <w:r w:rsidR="007A22DA">
        <w:rPr>
          <w:rFonts w:ascii="Times New Roman" w:eastAsia="Times New Roman" w:hAnsi="Times New Roman" w:cs="Times New Roman"/>
          <w:sz w:val="24"/>
          <w:szCs w:val="24"/>
        </w:rPr>
        <w:t>4,461,242</w:t>
      </w:r>
      <w:r w:rsidR="007A22DA">
        <w:rPr>
          <w:rStyle w:val="FootnoteReference"/>
          <w:rFonts w:ascii="Times New Roman" w:eastAsia="Times New Roman" w:hAnsi="Times New Roman" w:cs="Times New Roman"/>
          <w:sz w:val="24"/>
          <w:szCs w:val="24"/>
        </w:rPr>
        <w:footnoteReference w:id="3"/>
      </w:r>
      <w:r w:rsidR="00860784" w:rsidRPr="00860784">
        <w:rPr>
          <w:rFonts w:ascii="Times New Roman" w:eastAsia="Times New Roman" w:hAnsi="Times New Roman" w:cs="Times New Roman"/>
          <w:sz w:val="24"/>
          <w:szCs w:val="24"/>
        </w:rPr>
        <w:t xml:space="preserve"> in net income excluding depreciation expense and $</w:t>
      </w:r>
      <w:r w:rsidR="007A22DA">
        <w:rPr>
          <w:rFonts w:ascii="Times New Roman" w:eastAsia="Times New Roman" w:hAnsi="Times New Roman" w:cs="Times New Roman"/>
          <w:sz w:val="24"/>
          <w:szCs w:val="24"/>
        </w:rPr>
        <w:t>21,981,912</w:t>
      </w:r>
      <w:r w:rsidR="007A22DA">
        <w:rPr>
          <w:rStyle w:val="FootnoteReference"/>
          <w:rFonts w:ascii="Times New Roman" w:eastAsia="Times New Roman" w:hAnsi="Times New Roman" w:cs="Times New Roman"/>
          <w:sz w:val="24"/>
          <w:szCs w:val="24"/>
        </w:rPr>
        <w:footnoteReference w:id="4"/>
      </w:r>
      <w:r w:rsidR="00860784" w:rsidRPr="00860784">
        <w:rPr>
          <w:rFonts w:ascii="Times New Roman" w:eastAsia="Times New Roman" w:hAnsi="Times New Roman" w:cs="Times New Roman"/>
          <w:sz w:val="24"/>
          <w:szCs w:val="24"/>
        </w:rPr>
        <w:t xml:space="preserve"> in cash and cash equivalents that indicate Aqua WSC will have sufficient cash to cover shortages</w:t>
      </w:r>
      <w:r w:rsidRPr="00861234">
        <w:rPr>
          <w:rFonts w:ascii="Times New Roman" w:eastAsia="Times New Roman" w:hAnsi="Times New Roman" w:cs="Times New Roman"/>
          <w:sz w:val="24"/>
          <w:szCs w:val="24"/>
        </w:rPr>
        <w:t>.</w:t>
      </w:r>
      <w:r w:rsidRPr="00861234">
        <w:rPr>
          <w:rStyle w:val="FootnoteReference"/>
          <w:rFonts w:ascii="Times New Roman" w:eastAsia="Times New Roman" w:hAnsi="Times New Roman" w:cs="Times New Roman"/>
          <w:sz w:val="24"/>
          <w:szCs w:val="24"/>
        </w:rPr>
        <w:footnoteReference w:id="5"/>
      </w:r>
      <w:r w:rsidRPr="00861234">
        <w:rPr>
          <w:rFonts w:ascii="Times New Roman" w:eastAsia="Times New Roman" w:hAnsi="Times New Roman" w:cs="Times New Roman"/>
          <w:sz w:val="24"/>
          <w:szCs w:val="24"/>
        </w:rPr>
        <w:t xml:space="preserve"> Therefore, I recommend a </w:t>
      </w:r>
      <w:r w:rsidRPr="002566BD">
        <w:rPr>
          <w:rFonts w:ascii="Times New Roman" w:eastAsia="Times New Roman" w:hAnsi="Times New Roman" w:cs="Times New Roman"/>
          <w:sz w:val="24"/>
          <w:szCs w:val="24"/>
        </w:rPr>
        <w:t xml:space="preserve">finding that </w:t>
      </w:r>
      <w:r w:rsidR="006775AC">
        <w:rPr>
          <w:rFonts w:ascii="Times New Roman" w:eastAsia="Times New Roman" w:hAnsi="Times New Roman" w:cs="Times New Roman"/>
          <w:sz w:val="24"/>
          <w:szCs w:val="24"/>
        </w:rPr>
        <w:t>Aqua WSC</w:t>
      </w:r>
      <w:r w:rsidRPr="002566BD">
        <w:rPr>
          <w:rFonts w:ascii="Times New Roman" w:eastAsia="Times New Roman" w:hAnsi="Times New Roman" w:cs="Times New Roman"/>
          <w:sz w:val="24"/>
          <w:szCs w:val="24"/>
        </w:rPr>
        <w:t xml:space="preserve"> meets the </w:t>
      </w:r>
      <w:r w:rsidRPr="004C038F">
        <w:rPr>
          <w:rFonts w:ascii="Times New Roman" w:eastAsia="Times New Roman" w:hAnsi="Times New Roman" w:cs="Times New Roman"/>
          <w:sz w:val="24"/>
          <w:szCs w:val="24"/>
        </w:rPr>
        <w:t>operations test specified in 16 TAC § 24.11(e)(3).</w:t>
      </w:r>
    </w:p>
    <w:p w14:paraId="1426011B" w14:textId="0DE47E51" w:rsidR="00B2321E" w:rsidRPr="004C038F" w:rsidRDefault="00B2321E" w:rsidP="004C038F">
      <w:pPr>
        <w:spacing w:after="120" w:line="360" w:lineRule="auto"/>
        <w:jc w:val="both"/>
        <w:rPr>
          <w:rFonts w:ascii="Times New Roman" w:eastAsia="Times New Roman" w:hAnsi="Times New Roman" w:cs="Times New Roman"/>
          <w:b/>
          <w:bCs/>
          <w:color w:val="000000" w:themeColor="text1"/>
          <w:sz w:val="24"/>
          <w:szCs w:val="24"/>
        </w:rPr>
      </w:pPr>
      <w:r w:rsidRPr="004C038F">
        <w:rPr>
          <w:rFonts w:ascii="Times New Roman" w:eastAsia="Times New Roman" w:hAnsi="Times New Roman" w:cs="Times New Roman"/>
          <w:b/>
          <w:bCs/>
          <w:i/>
          <w:iCs/>
          <w:color w:val="000000" w:themeColor="text1"/>
          <w:sz w:val="24"/>
          <w:szCs w:val="24"/>
        </w:rPr>
        <w:t>Capital Improvement</w:t>
      </w:r>
      <w:r w:rsidR="00973E6B" w:rsidRPr="004C038F">
        <w:rPr>
          <w:rFonts w:ascii="Times New Roman" w:eastAsia="Times New Roman" w:hAnsi="Times New Roman" w:cs="Times New Roman"/>
          <w:b/>
          <w:bCs/>
          <w:i/>
          <w:iCs/>
          <w:color w:val="000000" w:themeColor="text1"/>
          <w:sz w:val="24"/>
          <w:szCs w:val="24"/>
        </w:rPr>
        <w:t>s</w:t>
      </w:r>
    </w:p>
    <w:p w14:paraId="11051612" w14:textId="79B7409B" w:rsidR="00B2321E" w:rsidRPr="00E64CAF" w:rsidRDefault="00B2321E" w:rsidP="004C038F">
      <w:pPr>
        <w:spacing w:after="120" w:line="360" w:lineRule="auto"/>
        <w:jc w:val="both"/>
        <w:rPr>
          <w:rFonts w:ascii="Times New Roman" w:eastAsia="Times New Roman" w:hAnsi="Times New Roman" w:cs="Times New Roman"/>
          <w:color w:val="000000" w:themeColor="text1"/>
          <w:sz w:val="24"/>
          <w:szCs w:val="24"/>
        </w:rPr>
      </w:pPr>
      <w:r w:rsidRPr="004C038F">
        <w:rPr>
          <w:rFonts w:ascii="Times New Roman" w:eastAsia="Times New Roman" w:hAnsi="Times New Roman" w:cs="Times New Roman"/>
          <w:b/>
          <w:bCs/>
          <w:color w:val="000000" w:themeColor="text1"/>
          <w:sz w:val="24"/>
          <w:szCs w:val="24"/>
        </w:rPr>
        <w:tab/>
      </w:r>
      <w:r w:rsidR="00973E6B" w:rsidRPr="004C038F">
        <w:rPr>
          <w:rFonts w:ascii="Times New Roman" w:eastAsia="Times New Roman" w:hAnsi="Times New Roman" w:cs="Times New Roman"/>
          <w:color w:val="000000" w:themeColor="text1"/>
          <w:sz w:val="24"/>
          <w:szCs w:val="24"/>
        </w:rPr>
        <w:t>Aqua WSC provided a capital improvement</w:t>
      </w:r>
      <w:r w:rsidR="00E64CAF" w:rsidRPr="004C038F">
        <w:rPr>
          <w:rFonts w:ascii="Times New Roman" w:eastAsia="Times New Roman" w:hAnsi="Times New Roman" w:cs="Times New Roman"/>
          <w:color w:val="000000" w:themeColor="text1"/>
          <w:sz w:val="24"/>
          <w:szCs w:val="24"/>
        </w:rPr>
        <w:t xml:space="preserve"> plan </w:t>
      </w:r>
      <w:r w:rsidR="00973E6B" w:rsidRPr="004C038F">
        <w:rPr>
          <w:rFonts w:ascii="Times New Roman" w:eastAsia="Times New Roman" w:hAnsi="Times New Roman" w:cs="Times New Roman"/>
          <w:color w:val="000000" w:themeColor="text1"/>
          <w:sz w:val="24"/>
          <w:szCs w:val="24"/>
        </w:rPr>
        <w:t>indicating the total</w:t>
      </w:r>
      <w:r w:rsidR="00C2522C" w:rsidRPr="004C038F">
        <w:rPr>
          <w:rFonts w:ascii="Times New Roman" w:eastAsia="Times New Roman" w:hAnsi="Times New Roman" w:cs="Times New Roman"/>
          <w:color w:val="000000" w:themeColor="text1"/>
          <w:sz w:val="24"/>
          <w:szCs w:val="24"/>
        </w:rPr>
        <w:t xml:space="preserve"> cost</w:t>
      </w:r>
      <w:r w:rsidR="00973E6B" w:rsidRPr="004C038F">
        <w:rPr>
          <w:rFonts w:ascii="Times New Roman" w:eastAsia="Times New Roman" w:hAnsi="Times New Roman" w:cs="Times New Roman"/>
          <w:color w:val="000000" w:themeColor="text1"/>
          <w:sz w:val="24"/>
          <w:szCs w:val="24"/>
        </w:rPr>
        <w:t xml:space="preserve"> of the 9 phased </w:t>
      </w:r>
      <w:r w:rsidR="00C2522C" w:rsidRPr="004C038F">
        <w:rPr>
          <w:rFonts w:ascii="Times New Roman" w:eastAsia="Times New Roman" w:hAnsi="Times New Roman" w:cs="Times New Roman"/>
          <w:color w:val="000000" w:themeColor="text1"/>
          <w:sz w:val="24"/>
          <w:szCs w:val="24"/>
        </w:rPr>
        <w:t>improvements to provide service to the requested area will cost $9,870,660.</w:t>
      </w:r>
      <w:r w:rsidRPr="004C038F">
        <w:rPr>
          <w:rStyle w:val="FootnoteReference"/>
          <w:rFonts w:ascii="Times New Roman" w:eastAsia="Times New Roman" w:hAnsi="Times New Roman" w:cs="Times New Roman"/>
          <w:color w:val="000000" w:themeColor="text1"/>
          <w:sz w:val="24"/>
          <w:szCs w:val="24"/>
        </w:rPr>
        <w:footnoteReference w:id="6"/>
      </w:r>
      <w:r w:rsidRPr="004C038F">
        <w:rPr>
          <w:rFonts w:ascii="Times New Roman" w:eastAsia="Times New Roman" w:hAnsi="Times New Roman" w:cs="Times New Roman"/>
          <w:color w:val="000000" w:themeColor="text1"/>
          <w:sz w:val="24"/>
          <w:szCs w:val="24"/>
        </w:rPr>
        <w:t xml:space="preserve"> </w:t>
      </w:r>
      <w:r w:rsidR="00C2522C" w:rsidRPr="004C038F">
        <w:rPr>
          <w:rFonts w:ascii="Times New Roman" w:eastAsia="Times New Roman" w:hAnsi="Times New Roman" w:cs="Times New Roman"/>
          <w:color w:val="000000" w:themeColor="text1"/>
          <w:sz w:val="24"/>
          <w:szCs w:val="24"/>
        </w:rPr>
        <w:t xml:space="preserve"> </w:t>
      </w:r>
      <w:r w:rsidR="0095307F" w:rsidRPr="004C038F">
        <w:rPr>
          <w:rFonts w:ascii="Times New Roman" w:eastAsia="Times New Roman" w:hAnsi="Times New Roman" w:cs="Times New Roman"/>
          <w:color w:val="000000" w:themeColor="text1"/>
          <w:sz w:val="24"/>
          <w:szCs w:val="24"/>
        </w:rPr>
        <w:t xml:space="preserve">Aqua WSC’s cash balance as of 11/30/2022 is $20,739,328.  </w:t>
      </w:r>
      <w:r w:rsidR="00C2522C" w:rsidRPr="004C038F">
        <w:rPr>
          <w:rFonts w:ascii="Times New Roman" w:eastAsia="Times New Roman" w:hAnsi="Times New Roman" w:cs="Times New Roman"/>
          <w:color w:val="000000" w:themeColor="text1"/>
          <w:sz w:val="24"/>
          <w:szCs w:val="24"/>
        </w:rPr>
        <w:t xml:space="preserve">Aqua WSC </w:t>
      </w:r>
      <w:r w:rsidR="00213E68" w:rsidRPr="004C038F">
        <w:rPr>
          <w:rFonts w:ascii="Times New Roman" w:eastAsia="Times New Roman" w:hAnsi="Times New Roman" w:cs="Times New Roman"/>
          <w:color w:val="000000" w:themeColor="text1"/>
          <w:sz w:val="24"/>
          <w:szCs w:val="24"/>
        </w:rPr>
        <w:t>generates sufficient</w:t>
      </w:r>
      <w:r w:rsidR="00C2522C" w:rsidRPr="004C038F">
        <w:rPr>
          <w:rFonts w:ascii="Times New Roman" w:eastAsia="Times New Roman" w:hAnsi="Times New Roman" w:cs="Times New Roman"/>
          <w:color w:val="000000" w:themeColor="text1"/>
          <w:sz w:val="24"/>
          <w:szCs w:val="24"/>
        </w:rPr>
        <w:t xml:space="preserve"> cash reserves to pay for the capital improvements cost.</w:t>
      </w:r>
      <w:r w:rsidR="00C2522C" w:rsidRPr="004C038F">
        <w:rPr>
          <w:rStyle w:val="FootnoteReference"/>
          <w:rFonts w:ascii="Times New Roman" w:eastAsia="Times New Roman" w:hAnsi="Times New Roman" w:cs="Times New Roman"/>
          <w:color w:val="000000" w:themeColor="text1"/>
          <w:sz w:val="24"/>
          <w:szCs w:val="24"/>
        </w:rPr>
        <w:footnoteReference w:id="7"/>
      </w:r>
      <w:r w:rsidR="00C2522C" w:rsidRPr="004C038F">
        <w:rPr>
          <w:rFonts w:ascii="Times New Roman" w:eastAsia="Times New Roman" w:hAnsi="Times New Roman" w:cs="Times New Roman"/>
          <w:color w:val="000000" w:themeColor="text1"/>
          <w:sz w:val="24"/>
          <w:szCs w:val="24"/>
        </w:rPr>
        <w:t xml:space="preserve">  Additionally Aqua WSC provided a letter from their bank indicating Aqua WSC is in good financial standing and has the liquidity to pay for the improvements.</w:t>
      </w:r>
      <w:r w:rsidR="00213E68" w:rsidRPr="004C038F">
        <w:rPr>
          <w:rStyle w:val="FootnoteReference"/>
          <w:rFonts w:ascii="Times New Roman" w:eastAsia="Times New Roman" w:hAnsi="Times New Roman" w:cs="Times New Roman"/>
          <w:color w:val="000000" w:themeColor="text1"/>
          <w:sz w:val="24"/>
          <w:szCs w:val="24"/>
        </w:rPr>
        <w:footnoteReference w:id="8"/>
      </w:r>
      <w:r w:rsidR="00A5788E" w:rsidRPr="004C038F">
        <w:rPr>
          <w:rFonts w:ascii="Times New Roman" w:eastAsia="Times New Roman" w:hAnsi="Times New Roman" w:cs="Times New Roman"/>
          <w:color w:val="000000" w:themeColor="text1"/>
          <w:sz w:val="24"/>
          <w:szCs w:val="24"/>
        </w:rPr>
        <w:t xml:space="preserve">  </w:t>
      </w:r>
      <w:r w:rsidR="00A5788E" w:rsidRPr="00B52D56">
        <w:rPr>
          <w:rFonts w:ascii="Times New Roman" w:eastAsia="Times New Roman" w:hAnsi="Times New Roman" w:cs="Times New Roman"/>
          <w:color w:val="000000" w:themeColor="text1"/>
          <w:sz w:val="24"/>
          <w:szCs w:val="24"/>
        </w:rPr>
        <w:t>Aqua WSC’s general manager Alan McMurray also provided a</w:t>
      </w:r>
      <w:r w:rsidR="006C5CC9" w:rsidRPr="00B52D56">
        <w:rPr>
          <w:rFonts w:ascii="Times New Roman" w:eastAsia="Times New Roman" w:hAnsi="Times New Roman" w:cs="Times New Roman"/>
          <w:color w:val="000000" w:themeColor="text1"/>
          <w:sz w:val="24"/>
          <w:szCs w:val="24"/>
        </w:rPr>
        <w:t>n affidavit</w:t>
      </w:r>
      <w:r w:rsidR="00A5788E" w:rsidRPr="00B52D56">
        <w:rPr>
          <w:rFonts w:ascii="Times New Roman" w:eastAsia="Times New Roman" w:hAnsi="Times New Roman" w:cs="Times New Roman"/>
          <w:color w:val="000000" w:themeColor="text1"/>
          <w:sz w:val="24"/>
          <w:szCs w:val="24"/>
        </w:rPr>
        <w:t xml:space="preserve"> commi</w:t>
      </w:r>
      <w:r w:rsidR="004C038F" w:rsidRPr="00B52D56">
        <w:rPr>
          <w:rFonts w:ascii="Times New Roman" w:eastAsia="Times New Roman" w:hAnsi="Times New Roman" w:cs="Times New Roman"/>
          <w:color w:val="000000" w:themeColor="text1"/>
          <w:sz w:val="24"/>
          <w:szCs w:val="24"/>
        </w:rPr>
        <w:t>t</w:t>
      </w:r>
      <w:r w:rsidR="00A5788E" w:rsidRPr="00B52D56">
        <w:rPr>
          <w:rFonts w:ascii="Times New Roman" w:eastAsia="Times New Roman" w:hAnsi="Times New Roman" w:cs="Times New Roman"/>
          <w:color w:val="000000" w:themeColor="text1"/>
          <w:sz w:val="24"/>
          <w:szCs w:val="24"/>
        </w:rPr>
        <w:t>t</w:t>
      </w:r>
      <w:r w:rsidR="006C5CC9" w:rsidRPr="00B52D56">
        <w:rPr>
          <w:rFonts w:ascii="Times New Roman" w:eastAsia="Times New Roman" w:hAnsi="Times New Roman" w:cs="Times New Roman"/>
          <w:color w:val="000000" w:themeColor="text1"/>
          <w:sz w:val="24"/>
          <w:szCs w:val="24"/>
        </w:rPr>
        <w:t>ing</w:t>
      </w:r>
      <w:r w:rsidR="00A5788E" w:rsidRPr="00B52D56">
        <w:rPr>
          <w:rFonts w:ascii="Times New Roman" w:eastAsia="Times New Roman" w:hAnsi="Times New Roman" w:cs="Times New Roman"/>
          <w:color w:val="000000" w:themeColor="text1"/>
          <w:sz w:val="24"/>
          <w:szCs w:val="24"/>
        </w:rPr>
        <w:t xml:space="preserve"> to pay for the improvements with Aqua WSC’s cash reserves.</w:t>
      </w:r>
      <w:r w:rsidR="00A5788E" w:rsidRPr="00B52D56">
        <w:rPr>
          <w:rStyle w:val="FootnoteReference"/>
          <w:rFonts w:ascii="Times New Roman" w:eastAsia="Times New Roman" w:hAnsi="Times New Roman" w:cs="Times New Roman"/>
          <w:color w:val="000000" w:themeColor="text1"/>
          <w:sz w:val="24"/>
          <w:szCs w:val="24"/>
        </w:rPr>
        <w:footnoteReference w:id="9"/>
      </w:r>
      <w:r w:rsidR="00A5788E" w:rsidRPr="00B52D56">
        <w:rPr>
          <w:rFonts w:ascii="Times New Roman" w:eastAsia="Times New Roman" w:hAnsi="Times New Roman" w:cs="Times New Roman"/>
          <w:color w:val="000000" w:themeColor="text1"/>
          <w:sz w:val="24"/>
          <w:szCs w:val="24"/>
        </w:rPr>
        <w:t xml:space="preserve">  </w:t>
      </w:r>
      <w:r w:rsidRPr="00B52D56">
        <w:rPr>
          <w:rFonts w:ascii="Times New Roman" w:eastAsia="Times New Roman" w:hAnsi="Times New Roman" w:cs="Times New Roman"/>
          <w:color w:val="000000" w:themeColor="text1"/>
          <w:sz w:val="24"/>
          <w:szCs w:val="24"/>
        </w:rPr>
        <w:t xml:space="preserve">Therefore, I recommend a finding that </w:t>
      </w:r>
      <w:r w:rsidR="003810A3" w:rsidRPr="00B52D56">
        <w:rPr>
          <w:rFonts w:ascii="Times New Roman" w:eastAsia="Times New Roman" w:hAnsi="Times New Roman" w:cs="Times New Roman"/>
          <w:color w:val="000000" w:themeColor="text1"/>
          <w:sz w:val="24"/>
          <w:szCs w:val="24"/>
        </w:rPr>
        <w:t>Aqua WSC</w:t>
      </w:r>
      <w:r w:rsidRPr="00B52D56">
        <w:rPr>
          <w:rFonts w:ascii="Times New Roman" w:eastAsia="Times New Roman" w:hAnsi="Times New Roman" w:cs="Times New Roman"/>
          <w:color w:val="000000" w:themeColor="text1"/>
          <w:sz w:val="24"/>
          <w:szCs w:val="24"/>
        </w:rPr>
        <w:t xml:space="preserve"> meets the requirements specified in 16 TAC § 24.11(e)(</w:t>
      </w:r>
      <w:r w:rsidRPr="004C038F">
        <w:rPr>
          <w:rFonts w:ascii="Times New Roman" w:eastAsia="Times New Roman" w:hAnsi="Times New Roman" w:cs="Times New Roman"/>
          <w:color w:val="000000" w:themeColor="text1"/>
          <w:sz w:val="24"/>
          <w:szCs w:val="24"/>
        </w:rPr>
        <w:t>5).</w:t>
      </w:r>
    </w:p>
    <w:p w14:paraId="0B2C58EE" w14:textId="77777777" w:rsidR="00B2321E" w:rsidRPr="008B0F6D" w:rsidRDefault="00B2321E" w:rsidP="004C038F">
      <w:pPr>
        <w:spacing w:after="120" w:line="360" w:lineRule="auto"/>
        <w:jc w:val="both"/>
        <w:rPr>
          <w:rFonts w:ascii="Times New Roman" w:eastAsia="Times New Roman" w:hAnsi="Times New Roman" w:cs="Times New Roman"/>
          <w:b/>
          <w:bCs/>
          <w:i/>
          <w:iCs/>
          <w:sz w:val="24"/>
          <w:szCs w:val="24"/>
        </w:rPr>
      </w:pPr>
      <w:r w:rsidRPr="008B0F6D">
        <w:rPr>
          <w:rFonts w:ascii="Times New Roman" w:eastAsia="Times New Roman" w:hAnsi="Times New Roman" w:cs="Times New Roman"/>
          <w:b/>
          <w:bCs/>
          <w:i/>
          <w:iCs/>
          <w:sz w:val="24"/>
          <w:szCs w:val="24"/>
        </w:rPr>
        <w:t>Recommendation</w:t>
      </w:r>
    </w:p>
    <w:p w14:paraId="3F5C5244" w14:textId="1CC4BE26" w:rsidR="00B2321E" w:rsidRPr="00376E5F" w:rsidRDefault="00B2321E" w:rsidP="004C038F">
      <w:pPr>
        <w:spacing w:after="12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Because </w:t>
      </w:r>
      <w:r w:rsidR="00973E6B">
        <w:rPr>
          <w:rFonts w:ascii="Times New Roman" w:eastAsia="Times New Roman" w:hAnsi="Times New Roman" w:cs="Times New Roman"/>
          <w:sz w:val="24"/>
          <w:szCs w:val="24"/>
        </w:rPr>
        <w:t>Aqua WSC</w:t>
      </w:r>
      <w:r>
        <w:rPr>
          <w:rFonts w:ascii="Times New Roman" w:eastAsia="Times New Roman" w:hAnsi="Times New Roman" w:cs="Times New Roman"/>
          <w:sz w:val="24"/>
          <w:szCs w:val="24"/>
        </w:rPr>
        <w:t xml:space="preserve"> meets the financial tests, I do not recommend that the Commission require additional financial assurance. </w:t>
      </w:r>
    </w:p>
    <w:p w14:paraId="53CCD032" w14:textId="7FFB5588" w:rsidR="00B2321E" w:rsidRPr="00372923" w:rsidRDefault="00B2321E" w:rsidP="004C038F">
      <w:pPr>
        <w:spacing w:after="12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Consequently, </w:t>
      </w:r>
      <w:r w:rsidRPr="00372923">
        <w:rPr>
          <w:rFonts w:ascii="Times New Roman" w:hAnsi="Times New Roman" w:cs="Times New Roman"/>
          <w:sz w:val="24"/>
          <w:szCs w:val="24"/>
        </w:rPr>
        <w:t>I recommend a finding that</w:t>
      </w:r>
      <w:r w:rsidR="00973E6B">
        <w:rPr>
          <w:rFonts w:ascii="Times New Roman" w:hAnsi="Times New Roman" w:cs="Times New Roman"/>
          <w:sz w:val="24"/>
          <w:szCs w:val="24"/>
        </w:rPr>
        <w:t xml:space="preserve"> Aqua WSC</w:t>
      </w:r>
      <w:r w:rsidRPr="00372923">
        <w:rPr>
          <w:rFonts w:ascii="Times New Roman" w:hAnsi="Times New Roman" w:cs="Times New Roman"/>
          <w:sz w:val="24"/>
          <w:szCs w:val="24"/>
        </w:rPr>
        <w:t xml:space="preserve"> demonstrates the financial and managerial capability needed to provide continuous and adequate service to the area subject to this application.  My conclusions are based on </w:t>
      </w:r>
      <w:r w:rsidR="003A4A79">
        <w:rPr>
          <w:rFonts w:ascii="Times New Roman" w:hAnsi="Times New Roman" w:cs="Times New Roman"/>
          <w:sz w:val="24"/>
          <w:szCs w:val="24"/>
        </w:rPr>
        <w:t xml:space="preserve">the </w:t>
      </w:r>
      <w:r w:rsidRPr="00372923">
        <w:rPr>
          <w:rFonts w:ascii="Times New Roman" w:hAnsi="Times New Roman" w:cs="Times New Roman"/>
          <w:sz w:val="24"/>
          <w:szCs w:val="24"/>
        </w:rPr>
        <w:t xml:space="preserve">information provided by </w:t>
      </w:r>
      <w:r w:rsidR="00A5788E">
        <w:rPr>
          <w:rFonts w:ascii="Times New Roman" w:hAnsi="Times New Roman" w:cs="Times New Roman"/>
          <w:sz w:val="24"/>
          <w:szCs w:val="24"/>
        </w:rPr>
        <w:t>Aqua WSC</w:t>
      </w:r>
      <w:r w:rsidRPr="00372923">
        <w:rPr>
          <w:rFonts w:ascii="Times New Roman" w:hAnsi="Times New Roman" w:cs="Times New Roman"/>
          <w:sz w:val="24"/>
          <w:szCs w:val="24"/>
        </w:rPr>
        <w:t xml:space="preserve"> before the date of this memorandum and may not reflect any changes in </w:t>
      </w:r>
      <w:r w:rsidR="00A5788E">
        <w:rPr>
          <w:rFonts w:ascii="Times New Roman" w:hAnsi="Times New Roman" w:cs="Times New Roman"/>
          <w:sz w:val="24"/>
          <w:szCs w:val="24"/>
        </w:rPr>
        <w:t>Aqua WSC</w:t>
      </w:r>
      <w:r w:rsidRPr="00372923">
        <w:rPr>
          <w:rFonts w:ascii="Times New Roman" w:hAnsi="Times New Roman" w:cs="Times New Roman"/>
          <w:sz w:val="24"/>
          <w:szCs w:val="24"/>
        </w:rPr>
        <w:t xml:space="preserve">’s status after this review. </w:t>
      </w:r>
    </w:p>
    <w:p w14:paraId="735BF1AB" w14:textId="77777777" w:rsidR="00B2321E" w:rsidRPr="00376E5F" w:rsidRDefault="00B2321E" w:rsidP="004C038F">
      <w:pPr>
        <w:spacing w:after="120" w:line="360" w:lineRule="auto"/>
        <w:ind w:firstLine="720"/>
        <w:jc w:val="both"/>
        <w:rPr>
          <w:rFonts w:ascii="Times New Roman" w:hAnsi="Times New Roman" w:cs="Times New Roman"/>
          <w:sz w:val="24"/>
          <w:szCs w:val="24"/>
        </w:rPr>
      </w:pPr>
    </w:p>
    <w:p w14:paraId="333FD2F8" w14:textId="77777777" w:rsidR="00B2321E" w:rsidRDefault="00B2321E" w:rsidP="003E3FA5">
      <w:pPr>
        <w:spacing w:after="120" w:line="360" w:lineRule="auto"/>
        <w:ind w:firstLine="720"/>
        <w:jc w:val="both"/>
        <w:rPr>
          <w:rFonts w:ascii="Times New Roman" w:eastAsia="Times New Roman" w:hAnsi="Times New Roman" w:cs="Times New Roman"/>
          <w:sz w:val="24"/>
          <w:szCs w:val="24"/>
        </w:rPr>
      </w:pPr>
    </w:p>
    <w:p w14:paraId="7ABE52B6" w14:textId="581F578E" w:rsidR="00C74679" w:rsidRDefault="00C74679" w:rsidP="003E3FA5">
      <w:pPr>
        <w:spacing w:after="120" w:line="360" w:lineRule="auto"/>
        <w:ind w:firstLine="720"/>
        <w:jc w:val="both"/>
      </w:pPr>
    </w:p>
    <w:sectPr w:rsidR="00C74679" w:rsidSect="00DC0A57">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51EAD" w14:textId="77777777" w:rsidR="00BD627E" w:rsidRDefault="00BD627E" w:rsidP="003E3FA5">
      <w:pPr>
        <w:spacing w:after="0" w:line="240" w:lineRule="auto"/>
      </w:pPr>
      <w:r>
        <w:separator/>
      </w:r>
    </w:p>
  </w:endnote>
  <w:endnote w:type="continuationSeparator" w:id="0">
    <w:p w14:paraId="298442D2" w14:textId="77777777" w:rsidR="00BD627E" w:rsidRDefault="00BD627E"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95A79" w:rsidRDefault="00BD627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195A79" w:rsidRDefault="00BD627E">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E8BAE" w14:textId="77777777" w:rsidR="00BD627E" w:rsidRDefault="00BD627E" w:rsidP="003E3FA5">
      <w:pPr>
        <w:spacing w:after="0" w:line="240" w:lineRule="auto"/>
      </w:pPr>
      <w:r>
        <w:separator/>
      </w:r>
    </w:p>
  </w:footnote>
  <w:footnote w:type="continuationSeparator" w:id="0">
    <w:p w14:paraId="353FECBD" w14:textId="77777777" w:rsidR="00BD627E" w:rsidRDefault="00BD627E" w:rsidP="003E3FA5">
      <w:pPr>
        <w:spacing w:after="0" w:line="240" w:lineRule="auto"/>
      </w:pPr>
      <w:r>
        <w:continuationSeparator/>
      </w:r>
    </w:p>
  </w:footnote>
  <w:footnote w:id="1">
    <w:p w14:paraId="29530F5B" w14:textId="5313B642" w:rsidR="00B2321E" w:rsidRDefault="00B2321E" w:rsidP="006722FF">
      <w:pPr>
        <w:pStyle w:val="FootnoteText"/>
        <w:spacing w:after="120"/>
        <w:ind w:left="900" w:hanging="180"/>
      </w:pPr>
      <w:r>
        <w:rPr>
          <w:rStyle w:val="FootnoteReference"/>
        </w:rPr>
        <w:footnoteRef/>
      </w:r>
      <w:r>
        <w:t xml:space="preserve">  </w:t>
      </w:r>
      <w:r w:rsidR="006722FF">
        <w:t>WOVR SWC and Aqua WSC’s response to PUC Staff’s Third Request for Information</w:t>
      </w:r>
      <w:r>
        <w:t xml:space="preserve">, at </w:t>
      </w:r>
      <w:r w:rsidR="006722FF">
        <w:t>pdf 28 and 29</w:t>
      </w:r>
      <w:r>
        <w:t xml:space="preserve"> (</w:t>
      </w:r>
      <w:r w:rsidR="006722FF">
        <w:t>Jan.</w:t>
      </w:r>
      <w:r>
        <w:t xml:space="preserve"> </w:t>
      </w:r>
      <w:r w:rsidR="006722FF">
        <w:t>29</w:t>
      </w:r>
      <w:r>
        <w:t>, 202</w:t>
      </w:r>
      <w:r w:rsidR="006722FF">
        <w:t>3</w:t>
      </w:r>
      <w:r>
        <w:t xml:space="preserve">). </w:t>
      </w:r>
    </w:p>
  </w:footnote>
  <w:footnote w:id="2">
    <w:p w14:paraId="7280CEA0" w14:textId="42F7F29D" w:rsidR="00B2321E" w:rsidRDefault="00B2321E" w:rsidP="00B2321E">
      <w:pPr>
        <w:pStyle w:val="FootnoteText"/>
        <w:ind w:firstLine="720"/>
      </w:pPr>
      <w:r>
        <w:rPr>
          <w:rStyle w:val="FootnoteReference"/>
        </w:rPr>
        <w:footnoteRef/>
      </w:r>
      <w:r>
        <w:t xml:space="preserve">  </w:t>
      </w:r>
      <w:bookmarkStart w:id="3" w:name="_Hlk125986517"/>
      <w:r w:rsidRPr="00675D86">
        <w:rPr>
          <w:i/>
          <w:iCs/>
        </w:rPr>
        <w:t>Id.</w:t>
      </w:r>
      <w:r>
        <w:t xml:space="preserve">, at </w:t>
      </w:r>
      <w:r w:rsidR="006722FF">
        <w:t>pdf 30</w:t>
      </w:r>
      <w:r>
        <w:t>.</w:t>
      </w:r>
    </w:p>
    <w:bookmarkEnd w:id="3"/>
  </w:footnote>
  <w:footnote w:id="3">
    <w:p w14:paraId="5B616EE8" w14:textId="734174B2" w:rsidR="007A22DA" w:rsidRDefault="007A22DA" w:rsidP="007A22DA">
      <w:pPr>
        <w:pStyle w:val="FootnoteText"/>
        <w:ind w:firstLine="720"/>
      </w:pPr>
      <w:r>
        <w:rPr>
          <w:rStyle w:val="FootnoteReference"/>
        </w:rPr>
        <w:footnoteRef/>
      </w:r>
      <w:r>
        <w:t xml:space="preserve">  </w:t>
      </w:r>
      <w:r w:rsidRPr="00675D86">
        <w:rPr>
          <w:i/>
          <w:iCs/>
        </w:rPr>
        <w:t>Id.</w:t>
      </w:r>
      <w:r>
        <w:t>, at pdf 31 and 39.</w:t>
      </w:r>
    </w:p>
  </w:footnote>
  <w:footnote w:id="4">
    <w:p w14:paraId="392D7D11" w14:textId="49BC34E8" w:rsidR="007A22DA" w:rsidRDefault="007A22DA" w:rsidP="007A22DA">
      <w:pPr>
        <w:pStyle w:val="FootnoteText"/>
        <w:ind w:firstLine="720"/>
      </w:pPr>
      <w:r>
        <w:rPr>
          <w:rStyle w:val="FootnoteReference"/>
        </w:rPr>
        <w:footnoteRef/>
      </w:r>
      <w:r>
        <w:t xml:space="preserve">  </w:t>
      </w:r>
      <w:r w:rsidRPr="00675D86">
        <w:rPr>
          <w:i/>
          <w:iCs/>
        </w:rPr>
        <w:t>Id.</w:t>
      </w:r>
      <w:r>
        <w:t>, at pdf 30.</w:t>
      </w:r>
    </w:p>
  </w:footnote>
  <w:footnote w:id="5">
    <w:p w14:paraId="5283D5A5" w14:textId="6462DADA" w:rsidR="00B2321E" w:rsidRPr="00861234" w:rsidRDefault="00B2321E" w:rsidP="006775AC">
      <w:pPr>
        <w:pStyle w:val="FootnoteText"/>
        <w:ind w:left="900" w:hanging="180"/>
      </w:pPr>
      <w:r>
        <w:rPr>
          <w:rStyle w:val="FootnoteReference"/>
        </w:rPr>
        <w:footnoteRef/>
      </w:r>
      <w:r>
        <w:t xml:space="preserve">  </w:t>
      </w:r>
      <w:r w:rsidR="006775AC">
        <w:t>Waters of Vista Ranch WSC and Aqua WSC’s Response to Commission Staff’s First RFI</w:t>
      </w:r>
      <w:r>
        <w:t xml:space="preserve"> at</w:t>
      </w:r>
      <w:r w:rsidR="006775AC">
        <w:t xml:space="preserve"> pdf</w:t>
      </w:r>
      <w:r>
        <w:t xml:space="preserve"> </w:t>
      </w:r>
      <w:r w:rsidR="006775AC">
        <w:t>7 (Mar. 19, 2021)</w:t>
      </w:r>
      <w:r>
        <w:t>.</w:t>
      </w:r>
    </w:p>
  </w:footnote>
  <w:footnote w:id="6">
    <w:p w14:paraId="185A40CF" w14:textId="77777777" w:rsidR="00B2321E" w:rsidRDefault="00B2321E" w:rsidP="00B2321E">
      <w:pPr>
        <w:pStyle w:val="FootnoteText"/>
        <w:ind w:firstLine="720"/>
      </w:pPr>
      <w:r>
        <w:rPr>
          <w:rStyle w:val="FootnoteReference"/>
        </w:rPr>
        <w:footnoteRef/>
      </w:r>
      <w:r>
        <w:t xml:space="preserve">  Application, at 67 (May 16, 2022).</w:t>
      </w:r>
    </w:p>
  </w:footnote>
  <w:footnote w:id="7">
    <w:p w14:paraId="6C35366E" w14:textId="15531F3D" w:rsidR="00C2522C" w:rsidRDefault="00C2522C" w:rsidP="00C2522C">
      <w:pPr>
        <w:pStyle w:val="FootnoteText"/>
        <w:ind w:firstLine="720"/>
      </w:pPr>
      <w:r>
        <w:rPr>
          <w:rStyle w:val="FootnoteReference"/>
        </w:rPr>
        <w:footnoteRef/>
      </w:r>
      <w:r>
        <w:t xml:space="preserve"> </w:t>
      </w:r>
      <w:r w:rsidR="00213E68">
        <w:t xml:space="preserve"> Confidential Attachment C pdf 21 (Jan. 10, 2023).</w:t>
      </w:r>
    </w:p>
  </w:footnote>
  <w:footnote w:id="8">
    <w:p w14:paraId="3810FAA1" w14:textId="5AB8B875" w:rsidR="00213E68" w:rsidRDefault="00213E68" w:rsidP="00213E68">
      <w:pPr>
        <w:pStyle w:val="FootnoteText"/>
        <w:ind w:firstLine="720"/>
      </w:pPr>
      <w:r>
        <w:rPr>
          <w:rStyle w:val="FootnoteReference"/>
        </w:rPr>
        <w:footnoteRef/>
      </w:r>
      <w:r>
        <w:t xml:space="preserve">  </w:t>
      </w:r>
      <w:r w:rsidR="00B52D56" w:rsidRPr="00B52D56">
        <w:t>Revised Affidavit of Alan David McMurray at pdf 3 (Mar. 7, 2023).</w:t>
      </w:r>
      <w:r w:rsidR="00A5788E">
        <w:t>.</w:t>
      </w:r>
    </w:p>
  </w:footnote>
  <w:footnote w:id="9">
    <w:p w14:paraId="3D70AF66" w14:textId="53CA8A78" w:rsidR="00A5788E" w:rsidRDefault="00A5788E" w:rsidP="00A5788E">
      <w:pPr>
        <w:pStyle w:val="FootnoteText"/>
        <w:ind w:firstLine="720"/>
      </w:pPr>
      <w:r>
        <w:rPr>
          <w:rStyle w:val="FootnoteReference"/>
        </w:rPr>
        <w:footnoteRef/>
      </w:r>
      <w:r w:rsidRPr="00B52D56">
        <w:rPr>
          <w:i/>
          <w:iCs/>
        </w:rPr>
        <w:t xml:space="preserve"> </w:t>
      </w:r>
      <w:r w:rsidR="00B52D56" w:rsidRPr="00B52D56">
        <w:rPr>
          <w:i/>
          <w:iCs/>
        </w:rPr>
        <w:t>Id</w:t>
      </w:r>
      <w:r w:rsidR="00B52D56">
        <w:t xml:space="preserve">. at </w:t>
      </w:r>
      <w:r>
        <w:t xml:space="preserve">pdf </w:t>
      </w:r>
      <w:r w:rsidR="00B52D56">
        <w:t>2</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15DA9394" w:rsidR="00195A79" w:rsidRPr="00860784" w:rsidRDefault="00363697" w:rsidP="0099083B">
    <w:pPr>
      <w:pStyle w:val="Header"/>
      <w:spacing w:after="240"/>
      <w:jc w:val="right"/>
      <w:rPr>
        <w:rFonts w:ascii="Times New Roman" w:hAnsi="Times New Roman" w:cs="Times New Roman"/>
        <w:b/>
        <w:sz w:val="24"/>
        <w:szCs w:val="24"/>
      </w:rPr>
    </w:pPr>
    <w:r w:rsidRPr="00860784">
      <w:rPr>
        <w:rFonts w:ascii="Times New Roman" w:hAnsi="Times New Roman" w:cs="Times New Roman"/>
        <w:b/>
        <w:sz w:val="24"/>
        <w:szCs w:val="24"/>
      </w:rPr>
      <w:t>Docket No. 5</w:t>
    </w:r>
    <w:r w:rsidR="00860784" w:rsidRPr="00860784">
      <w:rPr>
        <w:rFonts w:ascii="Times New Roman" w:hAnsi="Times New Roman" w:cs="Times New Roman"/>
        <w:b/>
        <w:sz w:val="24"/>
        <w:szCs w:val="24"/>
      </w:rPr>
      <w:t>1646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trackRevisions/>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0082A"/>
    <w:rsid w:val="00016AD9"/>
    <w:rsid w:val="000C5C5D"/>
    <w:rsid w:val="00126E4C"/>
    <w:rsid w:val="0013261C"/>
    <w:rsid w:val="00147CE5"/>
    <w:rsid w:val="00187068"/>
    <w:rsid w:val="00213E68"/>
    <w:rsid w:val="002149AE"/>
    <w:rsid w:val="00214FC1"/>
    <w:rsid w:val="00256BA8"/>
    <w:rsid w:val="00284379"/>
    <w:rsid w:val="002A2116"/>
    <w:rsid w:val="002E2F94"/>
    <w:rsid w:val="00353C3D"/>
    <w:rsid w:val="00363697"/>
    <w:rsid w:val="003810A3"/>
    <w:rsid w:val="003A4A79"/>
    <w:rsid w:val="003A73A6"/>
    <w:rsid w:val="003C1F2C"/>
    <w:rsid w:val="003E3FA5"/>
    <w:rsid w:val="003F686C"/>
    <w:rsid w:val="00460029"/>
    <w:rsid w:val="004753F5"/>
    <w:rsid w:val="00482E56"/>
    <w:rsid w:val="004C038F"/>
    <w:rsid w:val="004C4EA3"/>
    <w:rsid w:val="00586A9F"/>
    <w:rsid w:val="005B736D"/>
    <w:rsid w:val="005C50C8"/>
    <w:rsid w:val="005D4812"/>
    <w:rsid w:val="005E707D"/>
    <w:rsid w:val="0060231B"/>
    <w:rsid w:val="00617B78"/>
    <w:rsid w:val="00624666"/>
    <w:rsid w:val="00635BC4"/>
    <w:rsid w:val="00654DE4"/>
    <w:rsid w:val="00671935"/>
    <w:rsid w:val="006722FF"/>
    <w:rsid w:val="006775AC"/>
    <w:rsid w:val="0069190D"/>
    <w:rsid w:val="00695153"/>
    <w:rsid w:val="006C5CC9"/>
    <w:rsid w:val="006F5466"/>
    <w:rsid w:val="00746A28"/>
    <w:rsid w:val="007700A2"/>
    <w:rsid w:val="00787DE1"/>
    <w:rsid w:val="007A22DA"/>
    <w:rsid w:val="007D0A6F"/>
    <w:rsid w:val="007E2305"/>
    <w:rsid w:val="00860784"/>
    <w:rsid w:val="00891293"/>
    <w:rsid w:val="00894906"/>
    <w:rsid w:val="008C57AB"/>
    <w:rsid w:val="00902B12"/>
    <w:rsid w:val="00926DE3"/>
    <w:rsid w:val="0095307F"/>
    <w:rsid w:val="00973E6B"/>
    <w:rsid w:val="00A512B4"/>
    <w:rsid w:val="00A5788E"/>
    <w:rsid w:val="00A74B99"/>
    <w:rsid w:val="00AE4987"/>
    <w:rsid w:val="00B2321E"/>
    <w:rsid w:val="00B52332"/>
    <w:rsid w:val="00B52D56"/>
    <w:rsid w:val="00BD627E"/>
    <w:rsid w:val="00C0242A"/>
    <w:rsid w:val="00C2522C"/>
    <w:rsid w:val="00C53258"/>
    <w:rsid w:val="00C74679"/>
    <w:rsid w:val="00C94166"/>
    <w:rsid w:val="00CC68C3"/>
    <w:rsid w:val="00D52DC0"/>
    <w:rsid w:val="00D73FFD"/>
    <w:rsid w:val="00D9105A"/>
    <w:rsid w:val="00E003D4"/>
    <w:rsid w:val="00E64CAF"/>
    <w:rsid w:val="00EB2A1A"/>
    <w:rsid w:val="00ED2896"/>
    <w:rsid w:val="00EF2CA2"/>
    <w:rsid w:val="00F21E89"/>
    <w:rsid w:val="00F33D57"/>
    <w:rsid w:val="00F555F9"/>
    <w:rsid w:val="00F65A84"/>
    <w:rsid w:val="00F81C5D"/>
    <w:rsid w:val="00F85F19"/>
    <w:rsid w:val="00FE7E7A"/>
    <w:rsid w:val="00FF43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772DC497"/>
  <w15:chartTrackingRefBased/>
  <w15:docId w15:val="{9647FDEA-3FC7-4FAF-A626-C099DE489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Revision">
    <w:name w:val="Revision"/>
    <w:hidden/>
    <w:uiPriority w:val="99"/>
    <w:semiHidden/>
    <w:rsid w:val="004753F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943C6-E385-4D00-B1CB-AA302BAB3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568</Words>
  <Characters>3243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Ethan Blanchard</dc:creator>
  <cp:keywords/>
  <dc:description/>
  <cp:lastModifiedBy>Forrest Smith</cp:lastModifiedBy>
  <cp:revision>6</cp:revision>
  <dcterms:created xsi:type="dcterms:W3CDTF">2023-03-07T19:08:00Z</dcterms:created>
  <dcterms:modified xsi:type="dcterms:W3CDTF">2023-03-08T16:09:00Z</dcterms:modified>
</cp:coreProperties>
</file>